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AA" w:rsidRPr="00554D80" w:rsidRDefault="005669AA" w:rsidP="005669AA">
      <w:pPr>
        <w:jc w:val="center"/>
      </w:pPr>
      <w:r>
        <w:rPr>
          <w:noProof/>
        </w:rPr>
        <w:drawing>
          <wp:inline distT="0" distB="0" distL="0" distR="0">
            <wp:extent cx="800100" cy="647700"/>
            <wp:effectExtent l="19050" t="0" r="0" b="0"/>
            <wp:docPr id="2" name="Picture 25" descr="C:\Documents and Settings\kristine.pavelkovska\Desktop\logo bildes\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kristine.pavelkovska\Desktop\logo bildes\ES.bmp"/>
                    <pic:cNvPicPr>
                      <a:picLocks noChangeAspect="1" noChangeArrowheads="1"/>
                    </pic:cNvPicPr>
                  </pic:nvPicPr>
                  <pic:blipFill>
                    <a:blip r:embed="rId4"/>
                    <a:srcRect/>
                    <a:stretch>
                      <a:fillRect/>
                    </a:stretch>
                  </pic:blipFill>
                  <pic:spPr bwMode="auto">
                    <a:xfrm>
                      <a:off x="0" y="0"/>
                      <a:ext cx="800100" cy="647700"/>
                    </a:xfrm>
                    <a:prstGeom prst="rect">
                      <a:avLst/>
                    </a:prstGeom>
                    <a:noFill/>
                    <a:ln w="9525">
                      <a:noFill/>
                      <a:miter lim="800000"/>
                      <a:headEnd/>
                      <a:tailEnd/>
                    </a:ln>
                  </pic:spPr>
                </pic:pic>
              </a:graphicData>
            </a:graphic>
          </wp:inline>
        </w:drawing>
      </w:r>
      <w:r w:rsidRPr="00554D80">
        <w:tab/>
      </w:r>
      <w:r w:rsidRPr="00554D80">
        <w:tab/>
      </w:r>
      <w:r w:rsidR="00AE27D6">
        <w:rPr>
          <w:noProof/>
        </w:rPr>
        <w:drawing>
          <wp:inline distT="0" distB="0" distL="0" distR="0">
            <wp:extent cx="1838325" cy="209550"/>
            <wp:effectExtent l="19050" t="0" r="952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1838325" cy="209550"/>
                    </a:xfrm>
                    <a:prstGeom prst="rect">
                      <a:avLst/>
                    </a:prstGeom>
                    <a:noFill/>
                    <a:ln w="9525">
                      <a:noFill/>
                      <a:miter lim="800000"/>
                      <a:headEnd/>
                      <a:tailEnd/>
                    </a:ln>
                  </pic:spPr>
                </pic:pic>
              </a:graphicData>
            </a:graphic>
          </wp:inline>
        </w:drawing>
      </w:r>
      <w:r w:rsidR="00AE27D6">
        <w:tab/>
      </w:r>
      <w:r>
        <w:rPr>
          <w:noProof/>
        </w:rPr>
        <w:drawing>
          <wp:inline distT="0" distB="0" distL="0" distR="0">
            <wp:extent cx="1190625" cy="600075"/>
            <wp:effectExtent l="19050" t="0" r="9525" b="0"/>
            <wp:docPr id="3" name="Picture 7" descr="C:\Documents and Settings\Ilga\My Documents\Local Settings\Temp\NaisView\I0027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Ilga\My Documents\Local Settings\Temp\NaisView\I0027564.jpg"/>
                    <pic:cNvPicPr>
                      <a:picLocks noChangeAspect="1" noChangeArrowheads="1"/>
                    </pic:cNvPicPr>
                  </pic:nvPicPr>
                  <pic:blipFill>
                    <a:blip r:embed="rId6" r:link="rId7"/>
                    <a:srcRect/>
                    <a:stretch>
                      <a:fillRect/>
                    </a:stretch>
                  </pic:blipFill>
                  <pic:spPr bwMode="auto">
                    <a:xfrm>
                      <a:off x="0" y="0"/>
                      <a:ext cx="1190625" cy="600075"/>
                    </a:xfrm>
                    <a:prstGeom prst="rect">
                      <a:avLst/>
                    </a:prstGeom>
                    <a:noFill/>
                    <a:ln w="9525">
                      <a:noFill/>
                      <a:miter lim="800000"/>
                      <a:headEnd/>
                      <a:tailEnd/>
                    </a:ln>
                  </pic:spPr>
                </pic:pic>
              </a:graphicData>
            </a:graphic>
          </wp:inline>
        </w:drawing>
      </w:r>
    </w:p>
    <w:p w:rsidR="005669AA" w:rsidRPr="00554D80" w:rsidRDefault="005669AA" w:rsidP="005669AA">
      <w:pPr>
        <w:pBdr>
          <w:bottom w:val="single" w:sz="4" w:space="1" w:color="auto"/>
        </w:pBdr>
        <w:spacing w:before="120"/>
        <w:jc w:val="center"/>
      </w:pPr>
    </w:p>
    <w:p w:rsidR="005669AA" w:rsidRDefault="005669AA" w:rsidP="005669AA">
      <w:pPr>
        <w:rPr>
          <w:i/>
        </w:rPr>
      </w:pPr>
    </w:p>
    <w:p w:rsidR="005669AA" w:rsidRPr="008D3A1E" w:rsidRDefault="005669AA" w:rsidP="005669AA">
      <w:pPr>
        <w:jc w:val="center"/>
        <w:rPr>
          <w:b/>
          <w:sz w:val="28"/>
          <w:szCs w:val="28"/>
        </w:rPr>
      </w:pPr>
      <w:r w:rsidRPr="008D3A1E">
        <w:rPr>
          <w:b/>
          <w:sz w:val="28"/>
          <w:szCs w:val="28"/>
        </w:rPr>
        <w:t>„</w:t>
      </w:r>
      <w:r w:rsidR="008D3A1E" w:rsidRPr="008D3A1E">
        <w:rPr>
          <w:b/>
          <w:sz w:val="28"/>
          <w:szCs w:val="28"/>
        </w:rPr>
        <w:t>Veļas mazgātavas aprīkojuma  piegāde un uzstādīšana</w:t>
      </w:r>
      <w:r w:rsidRPr="008D3A1E">
        <w:rPr>
          <w:b/>
          <w:sz w:val="28"/>
          <w:szCs w:val="28"/>
        </w:rPr>
        <w:t>”</w:t>
      </w:r>
    </w:p>
    <w:p w:rsidR="005669AA" w:rsidRPr="00AE27D6" w:rsidRDefault="005669AA" w:rsidP="005669AA">
      <w:pPr>
        <w:jc w:val="center"/>
        <w:rPr>
          <w:rFonts w:eastAsia="Calibri"/>
          <w:b/>
          <w:sz w:val="28"/>
          <w:szCs w:val="28"/>
        </w:rPr>
      </w:pPr>
      <w:r w:rsidRPr="00AE27D6">
        <w:rPr>
          <w:rFonts w:eastAsia="Calibri"/>
          <w:b/>
          <w:sz w:val="28"/>
          <w:szCs w:val="28"/>
        </w:rPr>
        <w:t>(</w:t>
      </w:r>
      <w:r w:rsidR="008D3A1E">
        <w:rPr>
          <w:b/>
          <w:sz w:val="28"/>
          <w:szCs w:val="28"/>
        </w:rPr>
        <w:t>ID.</w:t>
      </w:r>
      <w:r w:rsidR="00AE27D6" w:rsidRPr="00AE27D6">
        <w:rPr>
          <w:b/>
          <w:sz w:val="28"/>
          <w:szCs w:val="28"/>
        </w:rPr>
        <w:t>Nr.RT2015/11-</w:t>
      </w:r>
      <w:r w:rsidR="008D3A1E">
        <w:rPr>
          <w:b/>
          <w:sz w:val="28"/>
          <w:szCs w:val="28"/>
        </w:rPr>
        <w:t>11</w:t>
      </w:r>
      <w:r w:rsidR="00AE27D6" w:rsidRPr="00AE27D6">
        <w:rPr>
          <w:b/>
          <w:sz w:val="28"/>
          <w:szCs w:val="28"/>
        </w:rPr>
        <w:t>.ERAF</w:t>
      </w:r>
      <w:r w:rsidRPr="00AE27D6">
        <w:rPr>
          <w:rFonts w:eastAsia="Calibri"/>
          <w:b/>
          <w:sz w:val="28"/>
          <w:szCs w:val="28"/>
        </w:rPr>
        <w:t>)</w:t>
      </w:r>
    </w:p>
    <w:p w:rsidR="005669AA" w:rsidRPr="005669AA" w:rsidRDefault="005669AA" w:rsidP="005669AA">
      <w:pPr>
        <w:jc w:val="center"/>
        <w:rPr>
          <w:b/>
          <w:sz w:val="28"/>
          <w:szCs w:val="28"/>
        </w:rPr>
      </w:pPr>
    </w:p>
    <w:p w:rsidR="005669AA" w:rsidRPr="005669AA" w:rsidRDefault="005669AA" w:rsidP="005669AA">
      <w:pPr>
        <w:pStyle w:val="BodyText"/>
        <w:ind w:right="26"/>
        <w:jc w:val="both"/>
        <w:rPr>
          <w:i w:val="0"/>
        </w:rPr>
      </w:pPr>
      <w:r w:rsidRPr="005669AA">
        <w:rPr>
          <w:i w:val="0"/>
        </w:rPr>
        <w:t>Iepirkumu komisija ir</w:t>
      </w:r>
      <w:r w:rsidR="008D3A1E">
        <w:rPr>
          <w:i w:val="0"/>
        </w:rPr>
        <w:t xml:space="preserve"> saņēmusi pretendent</w:t>
      </w:r>
      <w:r w:rsidR="00995D2D">
        <w:rPr>
          <w:i w:val="0"/>
        </w:rPr>
        <w:t>u</w:t>
      </w:r>
      <w:r w:rsidR="008D3A1E">
        <w:rPr>
          <w:i w:val="0"/>
        </w:rPr>
        <w:t xml:space="preserve"> jautājumu</w:t>
      </w:r>
      <w:r w:rsidR="001523B1">
        <w:rPr>
          <w:i w:val="0"/>
        </w:rPr>
        <w:t>s</w:t>
      </w:r>
      <w:r w:rsidRPr="005669AA">
        <w:rPr>
          <w:i w:val="0"/>
        </w:rPr>
        <w:t xml:space="preserve"> par </w:t>
      </w:r>
      <w:r w:rsidR="008D3A1E">
        <w:rPr>
          <w:i w:val="0"/>
        </w:rPr>
        <w:t>iepirkumu</w:t>
      </w:r>
      <w:r w:rsidRPr="00AE27D6">
        <w:rPr>
          <w:i w:val="0"/>
        </w:rPr>
        <w:t xml:space="preserve"> </w:t>
      </w:r>
      <w:r w:rsidRPr="008D3A1E">
        <w:rPr>
          <w:i w:val="0"/>
        </w:rPr>
        <w:t>„</w:t>
      </w:r>
      <w:r w:rsidR="008D3A1E" w:rsidRPr="008D3A1E">
        <w:rPr>
          <w:i w:val="0"/>
        </w:rPr>
        <w:t>Veļas mazgātavas aprīkojuma  piegāde un uzstādīšana</w:t>
      </w:r>
      <w:r w:rsidRPr="008D3A1E">
        <w:rPr>
          <w:bCs w:val="0"/>
          <w:i w:val="0"/>
          <w:iCs w:val="0"/>
        </w:rPr>
        <w:t>”</w:t>
      </w:r>
      <w:r w:rsidRPr="005669AA">
        <w:rPr>
          <w:bCs w:val="0"/>
          <w:i w:val="0"/>
          <w:iCs w:val="0"/>
        </w:rPr>
        <w:t xml:space="preserve"> (</w:t>
      </w:r>
      <w:r w:rsidR="00AE27D6">
        <w:rPr>
          <w:rFonts w:eastAsia="Calibri"/>
          <w:i w:val="0"/>
        </w:rPr>
        <w:t>ID.Nr.RT2015/11-</w:t>
      </w:r>
      <w:r w:rsidR="008D3A1E">
        <w:rPr>
          <w:rFonts w:eastAsia="Calibri"/>
          <w:i w:val="0"/>
        </w:rPr>
        <w:t>11</w:t>
      </w:r>
      <w:r w:rsidRPr="005669AA">
        <w:rPr>
          <w:rFonts w:eastAsia="Calibri"/>
          <w:i w:val="0"/>
        </w:rPr>
        <w:t>.ERAF</w:t>
      </w:r>
      <w:r>
        <w:rPr>
          <w:i w:val="0"/>
        </w:rPr>
        <w:t>), izskatījusi to</w:t>
      </w:r>
      <w:r w:rsidR="001523B1">
        <w:rPr>
          <w:i w:val="0"/>
        </w:rPr>
        <w:t xml:space="preserve">s </w:t>
      </w:r>
      <w:r w:rsidR="000B755C">
        <w:rPr>
          <w:i w:val="0"/>
        </w:rPr>
        <w:t>un sniedz atbild</w:t>
      </w:r>
      <w:r w:rsidR="00995D2D">
        <w:rPr>
          <w:i w:val="0"/>
        </w:rPr>
        <w:t xml:space="preserve">es </w:t>
      </w:r>
      <w:r w:rsidR="001523B1">
        <w:rPr>
          <w:i w:val="0"/>
        </w:rPr>
        <w:t>uz tiem</w:t>
      </w:r>
      <w:r w:rsidRPr="005669AA">
        <w:rPr>
          <w:i w:val="0"/>
        </w:rPr>
        <w:t>.</w:t>
      </w:r>
    </w:p>
    <w:p w:rsidR="005669AA" w:rsidRPr="005669AA" w:rsidRDefault="005669AA" w:rsidP="005669AA">
      <w:pPr>
        <w:pStyle w:val="c10"/>
        <w:rPr>
          <w:rStyle w:val="c9"/>
          <w:color w:val="000000"/>
        </w:rPr>
      </w:pPr>
    </w:p>
    <w:tbl>
      <w:tblPr>
        <w:tblStyle w:val="TableGrid"/>
        <w:tblW w:w="0" w:type="auto"/>
        <w:tblLayout w:type="fixed"/>
        <w:tblLook w:val="04A0"/>
      </w:tblPr>
      <w:tblGrid>
        <w:gridCol w:w="1034"/>
        <w:gridCol w:w="4410"/>
        <w:gridCol w:w="4410"/>
      </w:tblGrid>
      <w:tr w:rsidR="00105B38" w:rsidTr="001523B1">
        <w:tc>
          <w:tcPr>
            <w:tcW w:w="1034" w:type="dxa"/>
          </w:tcPr>
          <w:p w:rsidR="00105B38" w:rsidRDefault="00105B38" w:rsidP="00105B38">
            <w:pPr>
              <w:pStyle w:val="c10"/>
              <w:jc w:val="center"/>
              <w:rPr>
                <w:rStyle w:val="c9"/>
                <w:b/>
                <w:color w:val="000000"/>
              </w:rPr>
            </w:pPr>
            <w:proofErr w:type="spellStart"/>
            <w:r>
              <w:rPr>
                <w:rStyle w:val="c9"/>
                <w:b/>
                <w:color w:val="000000"/>
              </w:rPr>
              <w:t>Nr.p.k</w:t>
            </w:r>
            <w:proofErr w:type="spellEnd"/>
            <w:r>
              <w:rPr>
                <w:rStyle w:val="c9"/>
                <w:b/>
                <w:color w:val="000000"/>
              </w:rPr>
              <w:t>.</w:t>
            </w:r>
          </w:p>
        </w:tc>
        <w:tc>
          <w:tcPr>
            <w:tcW w:w="4410" w:type="dxa"/>
          </w:tcPr>
          <w:p w:rsidR="00105B38" w:rsidRDefault="00105B38" w:rsidP="00105B38">
            <w:pPr>
              <w:pStyle w:val="c10"/>
              <w:jc w:val="center"/>
              <w:rPr>
                <w:rStyle w:val="c9"/>
                <w:b/>
                <w:color w:val="000000"/>
              </w:rPr>
            </w:pPr>
            <w:r w:rsidRPr="005669AA">
              <w:rPr>
                <w:rStyle w:val="c9"/>
                <w:b/>
                <w:color w:val="000000"/>
              </w:rPr>
              <w:t>Jautājums</w:t>
            </w:r>
          </w:p>
        </w:tc>
        <w:tc>
          <w:tcPr>
            <w:tcW w:w="4410" w:type="dxa"/>
          </w:tcPr>
          <w:p w:rsidR="00105B38" w:rsidRDefault="00105B38" w:rsidP="00105B38">
            <w:pPr>
              <w:pStyle w:val="c10"/>
              <w:jc w:val="center"/>
              <w:rPr>
                <w:rStyle w:val="c9"/>
                <w:b/>
                <w:color w:val="000000"/>
              </w:rPr>
            </w:pPr>
            <w:r w:rsidRPr="005669AA">
              <w:rPr>
                <w:rStyle w:val="c9"/>
                <w:b/>
                <w:color w:val="000000"/>
              </w:rPr>
              <w:t>Atbilde</w:t>
            </w:r>
          </w:p>
        </w:tc>
      </w:tr>
      <w:tr w:rsidR="00DC3EC3" w:rsidTr="00DC3EC3">
        <w:tc>
          <w:tcPr>
            <w:tcW w:w="1034" w:type="dxa"/>
          </w:tcPr>
          <w:p w:rsidR="00DC3EC3" w:rsidRPr="00105B38" w:rsidRDefault="00DC3EC3" w:rsidP="00995D2D">
            <w:pPr>
              <w:pStyle w:val="c10"/>
              <w:spacing w:beforeLines="60" w:afterLines="60"/>
              <w:jc w:val="center"/>
              <w:rPr>
                <w:rStyle w:val="c9"/>
                <w:color w:val="000000"/>
              </w:rPr>
            </w:pPr>
            <w:r w:rsidRPr="00105B38">
              <w:rPr>
                <w:rStyle w:val="c9"/>
                <w:color w:val="000000"/>
              </w:rPr>
              <w:t>1.</w:t>
            </w:r>
          </w:p>
        </w:tc>
        <w:tc>
          <w:tcPr>
            <w:tcW w:w="4410" w:type="dxa"/>
          </w:tcPr>
          <w:p w:rsidR="00995D2D" w:rsidRPr="00CA75D8" w:rsidRDefault="00995D2D" w:rsidP="00995D2D">
            <w:pPr>
              <w:pStyle w:val="NormalWeb"/>
              <w:spacing w:beforeLines="60" w:beforeAutospacing="0" w:afterLines="60" w:afterAutospacing="0"/>
              <w:jc w:val="both"/>
            </w:pPr>
            <w:r w:rsidRPr="00CA75D8">
              <w:t>Lūdzam detalizētāku programmu aprakstu, kādu materiālu ir plānots mazgāt. Nevaram</w:t>
            </w:r>
            <w:r>
              <w:t>,</w:t>
            </w:r>
            <w:r w:rsidRPr="00CA75D8">
              <w:t xml:space="preserve"> diemžēl</w:t>
            </w:r>
            <w:r>
              <w:t>,</w:t>
            </w:r>
            <w:r w:rsidRPr="00CA75D8">
              <w:t xml:space="preserve"> iedomāties, kādām ir jābūt tādām specifiskām vajadzībām, jo pat lielākie mazgāšanas kombināti neizmanto pat 50 programmas.</w:t>
            </w:r>
          </w:p>
          <w:p w:rsidR="00995D2D" w:rsidRPr="00CA75D8" w:rsidRDefault="00995D2D" w:rsidP="00995D2D">
            <w:pPr>
              <w:pStyle w:val="Default"/>
              <w:spacing w:beforeLines="60" w:afterLines="60"/>
              <w:jc w:val="both"/>
              <w:rPr>
                <w:rFonts w:ascii="Times New Roman" w:hAnsi="Times New Roman" w:cs="Times New Roman"/>
                <w:b/>
                <w:lang w:val="lv-LV"/>
              </w:rPr>
            </w:pPr>
            <w:r w:rsidRPr="00CA75D8">
              <w:rPr>
                <w:rFonts w:ascii="Times New Roman" w:hAnsi="Times New Roman" w:cs="Times New Roman"/>
                <w:lang w:val="lv-LV"/>
              </w:rPr>
              <w:t>Lai varam korekti piedāvāt. Pagaidām izskatās, ka konkursa prasībām atbilst tikai viens ražotājs, kas neatbilst konkurences principiem.</w:t>
            </w:r>
          </w:p>
          <w:p w:rsidR="00DC3EC3" w:rsidRPr="001523B1" w:rsidRDefault="00DC3EC3" w:rsidP="00995D2D">
            <w:pPr>
              <w:pStyle w:val="c10"/>
              <w:spacing w:beforeLines="60" w:afterLines="60"/>
              <w:jc w:val="both"/>
              <w:rPr>
                <w:rStyle w:val="c9"/>
                <w:b/>
              </w:rPr>
            </w:pPr>
          </w:p>
        </w:tc>
        <w:tc>
          <w:tcPr>
            <w:tcW w:w="4410" w:type="dxa"/>
            <w:vAlign w:val="center"/>
          </w:tcPr>
          <w:p w:rsidR="00995D2D" w:rsidRPr="00CA75D8" w:rsidRDefault="00995D2D" w:rsidP="00995D2D">
            <w:pPr>
              <w:spacing w:beforeLines="60" w:afterLines="60"/>
              <w:jc w:val="both"/>
            </w:pPr>
            <w:r w:rsidRPr="00CA75D8">
              <w:rPr>
                <w:rStyle w:val="c3"/>
              </w:rPr>
              <w:t>Informējam, ka</w:t>
            </w:r>
            <w:r w:rsidRPr="00CA75D8">
              <w:t xml:space="preserve"> veļas mazgājamās mašīnas plānots izmantot  </w:t>
            </w:r>
            <w:r w:rsidRPr="00CA75D8">
              <w:rPr>
                <w:rStyle w:val="c3"/>
              </w:rPr>
              <w:t>profesionālai intensīvai lietošanai</w:t>
            </w:r>
            <w:r w:rsidRPr="00CA75D8">
              <w:t xml:space="preserve"> gan mācību procesā, gan lai nodrošinātu ēdnīcas, restorāna un viesnīcas pakalpojumus.</w:t>
            </w:r>
          </w:p>
          <w:p w:rsidR="00995D2D" w:rsidRPr="00CA75D8" w:rsidRDefault="00995D2D" w:rsidP="00995D2D">
            <w:pPr>
              <w:spacing w:beforeLines="60" w:afterLines="60"/>
              <w:jc w:val="both"/>
            </w:pPr>
            <w:r w:rsidRPr="00CA75D8">
              <w:t>Plānots mazgāt visa veida apģērbus (kokvilna, vilna, sintētiskie  un jauktie materiāli), gultas veļa, galdauti u.c. Mācību procesā plānots izmantot dažādām grupām un programmām, temperatūrām utt., tai skaitā individuālām. Ņemot vērā minēto, programmu skaitu samazināt nav iespējams, turklāt, ņemot vērā jaunās tehnoloģijas, kuras tiek izmantotas veļas mazgājamās mašīnās, šādas prasības spēj nodrošināt daudzas jaunāko paaudžu iekārtas.</w:t>
            </w:r>
          </w:p>
          <w:p w:rsidR="00995D2D" w:rsidRPr="00CA75D8" w:rsidRDefault="00995D2D" w:rsidP="00995D2D">
            <w:pPr>
              <w:spacing w:beforeLines="60" w:afterLines="60"/>
              <w:jc w:val="both"/>
            </w:pPr>
            <w:r w:rsidRPr="00CA75D8">
              <w:t>Veicot iepirkumu mērķis ir aprīkot skolu ar modernu un ilgtspējīgu aprīkojumu.</w:t>
            </w:r>
          </w:p>
          <w:p w:rsidR="00DC3EC3" w:rsidRPr="00995D2D" w:rsidRDefault="00995D2D" w:rsidP="00995D2D">
            <w:pPr>
              <w:pStyle w:val="Default"/>
              <w:spacing w:beforeLines="60" w:afterLines="60"/>
              <w:jc w:val="both"/>
              <w:rPr>
                <w:rStyle w:val="c9"/>
                <w:rFonts w:ascii="Times New Roman" w:hAnsi="Times New Roman" w:cs="Times New Roman"/>
                <w:color w:val="auto"/>
                <w:lang w:val="lv-LV"/>
              </w:rPr>
            </w:pPr>
            <w:r w:rsidRPr="00CA75D8">
              <w:rPr>
                <w:rFonts w:ascii="Times New Roman" w:hAnsi="Times New Roman" w:cs="Times New Roman"/>
                <w:lang w:val="lv-LV"/>
              </w:rPr>
              <w:t xml:space="preserve">Turklāt tehnisko specifikāciju iekļautās prasības attiecībā uz </w:t>
            </w:r>
            <w:r w:rsidRPr="00CA75D8">
              <w:rPr>
                <w:rFonts w:ascii="Times New Roman" w:hAnsi="Times New Roman" w:cs="Times New Roman"/>
                <w:color w:val="auto"/>
                <w:lang w:val="lv-LV"/>
              </w:rPr>
              <w:t xml:space="preserve">veļas mazgājamām mašīnām </w:t>
            </w:r>
            <w:r w:rsidRPr="00CA75D8">
              <w:rPr>
                <w:rFonts w:ascii="Times New Roman" w:hAnsi="Times New Roman" w:cs="Times New Roman"/>
                <w:lang w:val="lv-LV"/>
              </w:rPr>
              <w:t xml:space="preserve">nav vērstas uz kādu konkrētu ražotāju, tāpēc pilnībā atbilst Publisko iepirkumu likuma 2.panta 2.punktā noteiktajam mērķim nodrošināt </w:t>
            </w:r>
            <w:r w:rsidRPr="00CA75D8">
              <w:rPr>
                <w:rFonts w:ascii="Times New Roman" w:hAnsi="Times New Roman" w:cs="Times New Roman"/>
                <w:color w:val="auto"/>
                <w:lang w:val="lv-LV"/>
              </w:rPr>
              <w:t xml:space="preserve">piegādātāju brīvu </w:t>
            </w:r>
            <w:r w:rsidRPr="00CA75D8">
              <w:rPr>
                <w:rFonts w:ascii="Times New Roman" w:hAnsi="Times New Roman" w:cs="Times New Roman"/>
                <w:color w:val="auto"/>
                <w:shd w:val="clear" w:color="auto" w:fill="FFFFFF"/>
                <w:lang w:val="lv-LV"/>
              </w:rPr>
              <w:t>konkurenci, kā arī vienlīdzīgu un taisnīgu attieksmi pret tiem</w:t>
            </w:r>
            <w:r w:rsidRPr="00CA75D8">
              <w:rPr>
                <w:rFonts w:ascii="Times New Roman" w:hAnsi="Times New Roman" w:cs="Times New Roman"/>
                <w:color w:val="auto"/>
                <w:lang w:val="lv-LV"/>
              </w:rPr>
              <w:t>.</w:t>
            </w:r>
          </w:p>
        </w:tc>
      </w:tr>
      <w:tr w:rsidR="00DC3EC3" w:rsidTr="001523B1">
        <w:tc>
          <w:tcPr>
            <w:tcW w:w="1034" w:type="dxa"/>
          </w:tcPr>
          <w:p w:rsidR="00DC3EC3" w:rsidRPr="00105B38" w:rsidRDefault="00DC3EC3" w:rsidP="00995D2D">
            <w:pPr>
              <w:pStyle w:val="c10"/>
              <w:spacing w:beforeLines="60" w:afterLines="60"/>
              <w:jc w:val="center"/>
              <w:rPr>
                <w:rStyle w:val="c9"/>
                <w:color w:val="000000"/>
              </w:rPr>
            </w:pPr>
            <w:r>
              <w:rPr>
                <w:rStyle w:val="c9"/>
                <w:color w:val="000000"/>
              </w:rPr>
              <w:t>2.</w:t>
            </w:r>
          </w:p>
        </w:tc>
        <w:tc>
          <w:tcPr>
            <w:tcW w:w="4410" w:type="dxa"/>
          </w:tcPr>
          <w:p w:rsidR="00995D2D" w:rsidRPr="00995D2D" w:rsidRDefault="00995D2D" w:rsidP="00995D2D">
            <w:pPr>
              <w:pStyle w:val="Default"/>
              <w:spacing w:beforeLines="60" w:afterLines="60"/>
              <w:jc w:val="both"/>
              <w:rPr>
                <w:rFonts w:ascii="Times New Roman" w:hAnsi="Times New Roman" w:cs="Times New Roman"/>
                <w:lang w:val="lv-LV"/>
              </w:rPr>
            </w:pPr>
            <w:r w:rsidRPr="00335A90">
              <w:rPr>
                <w:rFonts w:ascii="Times New Roman" w:hAnsi="Times New Roman" w:cs="Times New Roman"/>
                <w:lang w:val="lv-LV"/>
              </w:rPr>
              <w:t xml:space="preserve">Lūdzam precizēt konkursa „Veļas mazgātavas aprīkojuma piegāde un uzstādīšana”, Iepirkuma id.Nr.RT2015/11-11.ERAF, tehniskās specifikācijas, jo šīs prasības ierobežo piegādātāju </w:t>
            </w:r>
            <w:r w:rsidRPr="00335A90">
              <w:rPr>
                <w:rFonts w:ascii="Times New Roman" w:hAnsi="Times New Roman" w:cs="Times New Roman"/>
                <w:lang w:val="lv-LV"/>
              </w:rPr>
              <w:lastRenderedPageBreak/>
              <w:t xml:space="preserve">konkurētspēju, turklāt saskaņā ar pašreizējām specifikācijām nav iespējams piedāvāt iekārtas, kas atbilstu prasībām. </w:t>
            </w:r>
          </w:p>
          <w:p w:rsidR="00995D2D" w:rsidRPr="00995D2D" w:rsidRDefault="00995D2D" w:rsidP="00995D2D">
            <w:pPr>
              <w:pStyle w:val="Default"/>
              <w:spacing w:beforeLines="60" w:afterLines="60"/>
              <w:jc w:val="both"/>
              <w:rPr>
                <w:rFonts w:ascii="Times New Roman" w:hAnsi="Times New Roman" w:cs="Times New Roman"/>
                <w:lang w:val="lv-LV"/>
              </w:rPr>
            </w:pPr>
            <w:r>
              <w:rPr>
                <w:rFonts w:ascii="Times New Roman" w:hAnsi="Times New Roman" w:cs="Times New Roman"/>
                <w:lang w:val="lv-LV"/>
              </w:rPr>
              <w:t>5.</w:t>
            </w:r>
            <w:r w:rsidRPr="00335A90">
              <w:rPr>
                <w:rFonts w:ascii="Times New Roman" w:hAnsi="Times New Roman" w:cs="Times New Roman"/>
                <w:lang w:val="lv-LV"/>
              </w:rPr>
              <w:t>pozīcija „Veļas mazgājamā mašīna no nerūsējošā tērauda ar nerūsējošā tērauda tvertni”: Lūdzam samazināt pieprasīto programmu daudzumu līdz 99 programmām vai nosaukt, kuras tieši programmas ir nepieciešamas. Lūdzam norādīt maksimālo iekārtas svaru (piem.</w:t>
            </w:r>
            <w:smartTag w:uri="urn:schemas-microsoft-com:office:smarttags" w:element="PersonName">
              <w:r w:rsidRPr="00335A90">
                <w:rPr>
                  <w:rFonts w:ascii="Times New Roman" w:hAnsi="Times New Roman" w:cs="Times New Roman"/>
                  <w:lang w:val="lv-LV"/>
                </w:rPr>
                <w:t>:</w:t>
              </w:r>
            </w:smartTag>
            <w:r w:rsidRPr="00335A90">
              <w:rPr>
                <w:rFonts w:ascii="Times New Roman" w:hAnsi="Times New Roman" w:cs="Times New Roman"/>
                <w:lang w:val="lv-LV"/>
              </w:rPr>
              <w:t xml:space="preserve"> „svars līdz 270 kg), nevis svara robežas, tā kā – jo mazāks iekārtas svars, jo labāk (mazāka slodze pamatiem, ērtāka transportēšana un tml.). Tāpat lūdzam norādīt maksimālos iespējamos izmērus (ņemot vērā iekārtām paredzēto vietu) vai norādīt maksimālo novirzi, t.i., +/- 100mm (vēlamies piedāvāt iekārtu, kuras izmēri ir 710x726x1115 mm).  </w:t>
            </w:r>
          </w:p>
          <w:p w:rsidR="00995D2D" w:rsidRPr="00995D2D" w:rsidRDefault="00995D2D" w:rsidP="00995D2D">
            <w:pPr>
              <w:pStyle w:val="Default"/>
              <w:spacing w:beforeLines="60" w:afterLines="60"/>
              <w:jc w:val="both"/>
              <w:rPr>
                <w:rFonts w:ascii="Times New Roman" w:hAnsi="Times New Roman" w:cs="Times New Roman"/>
                <w:lang w:val="lv-LV"/>
              </w:rPr>
            </w:pPr>
            <w:r>
              <w:rPr>
                <w:rFonts w:ascii="Times New Roman" w:hAnsi="Times New Roman" w:cs="Times New Roman"/>
                <w:lang w:val="lv-LV"/>
              </w:rPr>
              <w:t>6.</w:t>
            </w:r>
            <w:r w:rsidRPr="00335A90">
              <w:rPr>
                <w:rFonts w:ascii="Times New Roman" w:hAnsi="Times New Roman" w:cs="Times New Roman"/>
                <w:lang w:val="lv-LV"/>
              </w:rPr>
              <w:t>pozīcija „Veļas žāvētājs, elektriskā apsilde”: Lūdzam samazināt pieprasīto programmu daudzumu līdz 20 programmām vai nosaukt, kuras tieši programmas ir nepieciešamas. Lūdzam samazināt prasību attiecībā uz vilkmi līdz 9 m3/min un prasību attiecībā uz karsēšanas jaudu līdz 13.5 kW, jo ar tādu jaudu pilnībā pietiek, lai izžāvētu 10 kg veļas, turklāt iekārta būtu ekonomiska. Lūdzam norādīt maksimālo iekārtas svaru (piem.</w:t>
            </w:r>
            <w:smartTag w:uri="urn:schemas-microsoft-com:office:smarttags" w:element="PersonName">
              <w:r w:rsidRPr="00335A90">
                <w:rPr>
                  <w:rFonts w:ascii="Times New Roman" w:hAnsi="Times New Roman" w:cs="Times New Roman"/>
                  <w:lang w:val="lv-LV"/>
                </w:rPr>
                <w:t>:</w:t>
              </w:r>
            </w:smartTag>
            <w:r w:rsidRPr="00335A90">
              <w:rPr>
                <w:rFonts w:ascii="Times New Roman" w:hAnsi="Times New Roman" w:cs="Times New Roman"/>
                <w:lang w:val="lv-LV"/>
              </w:rPr>
              <w:t xml:space="preserve"> „svars līdz 230 kg), nevis svara robežas, tā kā – jo mazāks iekārtas svars, jo labāk (mazāka slodze pamatiem, ērtāka transportēšana un tml.). Tāpat lūdzam norādīt maksimālos iespējamos izmērus (ņemot vērā iekārtām paredzēto vietu) vai norādīt maksimālo novirzi (vēlamies piedāvāt iekārtu, kuras izmēri ir 795x1070x1680 mm).  </w:t>
            </w:r>
          </w:p>
          <w:p w:rsidR="00DC3EC3" w:rsidRPr="001523B1" w:rsidRDefault="00995D2D" w:rsidP="00995D2D">
            <w:pPr>
              <w:pStyle w:val="c10"/>
              <w:spacing w:beforeLines="60" w:afterLines="60"/>
              <w:jc w:val="both"/>
            </w:pPr>
            <w:r>
              <w:t>9.</w:t>
            </w:r>
            <w:r w:rsidRPr="00335A90">
              <w:t>pozīcija „Veļas gludināmais rullis”</w:t>
            </w:r>
            <w:smartTag w:uri="urn:schemas-microsoft-com:office:smarttags" w:element="PersonName">
              <w:r w:rsidRPr="00335A90">
                <w:t>:</w:t>
              </w:r>
            </w:smartTag>
            <w:r w:rsidRPr="00335A90">
              <w:t xml:space="preserve"> Lūdzam samazināt prasību temperatūrai līdz 180</w:t>
            </w:r>
            <w:r w:rsidRPr="00335A90">
              <w:rPr>
                <w:vertAlign w:val="superscript"/>
              </w:rPr>
              <w:t>0</w:t>
            </w:r>
            <w:r w:rsidRPr="00335A90">
              <w:t xml:space="preserve"> C, ar tādu temperatūru ir pilnībā pietiekami, lai gludinātu dažādus audumus. Lūdzam samazināt ruļļa garumu līdz 1400 mm. Lūdzam samazināt prasību gludināšanas ātrumam līdz 3.8 m/min, jo ātrums 10 m/min ir raksturīgs tikai ražošanā izmantojamām iekārtām. Lūdzam atcelt prasību „Elektroniskā vadība ar vismaz 30 programmām; iespējams regulēt temperatūru, ātrumu”, vai norādīt, kuras tieši programmas ir nepieciešamas. </w:t>
            </w:r>
            <w:r w:rsidRPr="00335A90">
              <w:lastRenderedPageBreak/>
              <w:t>Lūdzam norādīt maksimālo iekārtas svaru (piem.</w:t>
            </w:r>
            <w:smartTag w:uri="urn:schemas-microsoft-com:office:smarttags" w:element="PersonName">
              <w:r w:rsidRPr="00335A90">
                <w:t>:</w:t>
              </w:r>
            </w:smartTag>
            <w:r w:rsidRPr="00335A90">
              <w:t xml:space="preserve"> „svars līdz 200 kg), nevis svara robežas, tā kā – jo mazāks iekārtas svars, jo labāk (mazāka slodze pamatiem, ērtāka transportēšana un tml.). Tāpat lūdzam norādīt maksimālos iespējamos izmērus (ņemot vērā iekārtām paredzēto vietu) vai norādīt maksimālo novirzi (vēlamies piedāvāt iekārtu, kuras izmēri ir 1840x420x1003 mm).</w:t>
            </w:r>
          </w:p>
        </w:tc>
        <w:tc>
          <w:tcPr>
            <w:tcW w:w="4410" w:type="dxa"/>
          </w:tcPr>
          <w:p w:rsidR="00995D2D" w:rsidRPr="00335A90" w:rsidRDefault="00995D2D" w:rsidP="00995D2D">
            <w:pPr>
              <w:pStyle w:val="Default"/>
              <w:spacing w:beforeLines="60" w:afterLines="60"/>
              <w:jc w:val="both"/>
              <w:rPr>
                <w:rFonts w:ascii="Times New Roman" w:hAnsi="Times New Roman" w:cs="Times New Roman"/>
                <w:b/>
                <w:color w:val="auto"/>
                <w:lang w:val="lv-LV"/>
              </w:rPr>
            </w:pPr>
            <w:r w:rsidRPr="00335A90">
              <w:rPr>
                <w:rStyle w:val="c3"/>
                <w:rFonts w:ascii="Times New Roman" w:hAnsi="Times New Roman"/>
                <w:color w:val="auto"/>
                <w:lang w:val="lv-LV"/>
              </w:rPr>
              <w:lastRenderedPageBreak/>
              <w:t>Informējam, ka visas iekārtas ir paredzētas profesionālai intensīvai lietošanai, kā arī izmantošanai mācību procesā.</w:t>
            </w:r>
          </w:p>
          <w:p w:rsidR="00995D2D" w:rsidRPr="00335A90" w:rsidRDefault="00995D2D" w:rsidP="00995D2D">
            <w:pPr>
              <w:spacing w:beforeLines="60" w:afterLines="60"/>
              <w:jc w:val="both"/>
              <w:rPr>
                <w:rStyle w:val="c3"/>
              </w:rPr>
            </w:pPr>
            <w:r>
              <w:t>5.</w:t>
            </w:r>
            <w:r w:rsidRPr="00335A90">
              <w:t xml:space="preserve">pozīcija „Veļas mazgājamā mašīna no nerūsējošā tērauda ar nerūsējošā tērauda </w:t>
            </w:r>
            <w:r w:rsidRPr="00335A90">
              <w:lastRenderedPageBreak/>
              <w:t>tvertni”: Programmu skaits ir būtisks, jo iekārta tiek lietota gan praktiskajā, gan mācību procesā, tāpēc nevar tikt samazināts programmu skaits. Iekārtas izmēri ir norādīti, un ir norādīta izmēru pielaide</w:t>
            </w:r>
            <w:smartTag w:uri="urn:schemas-microsoft-com:office:smarttags" w:element="PersonName">
              <w:r w:rsidRPr="00335A90">
                <w:t>:</w:t>
              </w:r>
            </w:smartTag>
            <w:r w:rsidRPr="00335A90">
              <w:t xml:space="preserve"> 700x800x1050mm +/-30mm (</w:t>
            </w:r>
            <w:proofErr w:type="spellStart"/>
            <w:r w:rsidRPr="00335A90">
              <w:t>PxDxA</w:t>
            </w:r>
            <w:proofErr w:type="spellEnd"/>
            <w:r w:rsidRPr="00335A90">
              <w:t>). Iekārtas svars raksturo iekārtas konstrukcijas, izmantoto tehnoloģiju un materiālu, tāpēc svara amplitūda, ir 250-270kg.</w:t>
            </w:r>
          </w:p>
          <w:p w:rsidR="00995D2D" w:rsidRPr="00335A90" w:rsidRDefault="00995D2D" w:rsidP="00995D2D">
            <w:pPr>
              <w:spacing w:beforeLines="60" w:afterLines="60"/>
              <w:jc w:val="both"/>
            </w:pPr>
            <w:r>
              <w:t>6.</w:t>
            </w:r>
            <w:r w:rsidRPr="00335A90">
              <w:t xml:space="preserve">pozīcija „Veļas žāvētājs, elektriskā apsilde”: Programmu skaits ir būtisks, jo iekārta tiek lietota gan praktiskajā, gan mācību procesā, tāpēc nevar tikt samazināts programmu skaits. Iekārtas darbībai nepieciešamās </w:t>
            </w:r>
            <w:proofErr w:type="spellStart"/>
            <w:r w:rsidRPr="00335A90">
              <w:t>pievadkomunikācijas</w:t>
            </w:r>
            <w:proofErr w:type="spellEnd"/>
            <w:r w:rsidRPr="00335A90">
              <w:t xml:space="preserve"> un nepieciešamās jaudas ir iekļautas inženiertīklu projektā, tāpēc nevar tikt mainīti iekārtas noteiktie parametri. Iekārtas izmēri ir norādīti, ievērojot telpas eksplikāciju. Lai izvairītos no konkrētu iekārtu tehnisko parametru noteikšanas, ir norādīta izmēru pielaide</w:t>
            </w:r>
            <w:smartTag w:uri="urn:schemas-microsoft-com:office:smarttags" w:element="PersonName">
              <w:r w:rsidRPr="00335A90">
                <w:t>:</w:t>
              </w:r>
            </w:smartTag>
            <w:r w:rsidRPr="00335A90">
              <w:t xml:space="preserve"> 800x700x1750mm +/-30mm (</w:t>
            </w:r>
            <w:proofErr w:type="spellStart"/>
            <w:r w:rsidRPr="00335A90">
              <w:t>PxDxA</w:t>
            </w:r>
            <w:proofErr w:type="spellEnd"/>
            <w:r w:rsidRPr="00335A90">
              <w:t xml:space="preserve">). Savukārt, ņemot vērā, ka tās ir </w:t>
            </w:r>
            <w:r w:rsidRPr="00335A90">
              <w:rPr>
                <w:rStyle w:val="c3"/>
              </w:rPr>
              <w:t>paredzētas profesionālai intensīvai lietošanai</w:t>
            </w:r>
            <w:r w:rsidRPr="00335A90">
              <w:t xml:space="preserve"> iekārtas svars raksturo iekārtas konstrukcijas, kā arī izmantoto tehnoloģiju un materiālu, tāpēc svara amplitūda ir 210-230kg.</w:t>
            </w:r>
          </w:p>
          <w:p w:rsidR="00995D2D" w:rsidRPr="00335A90" w:rsidRDefault="00995D2D" w:rsidP="00995D2D">
            <w:pPr>
              <w:spacing w:beforeLines="60" w:afterLines="60"/>
              <w:jc w:val="both"/>
              <w:rPr>
                <w:rStyle w:val="c3"/>
              </w:rPr>
            </w:pPr>
            <w:r>
              <w:t>9.</w:t>
            </w:r>
            <w:r w:rsidRPr="00335A90">
              <w:t>pozīcija „Veļas gludināmais rullis”: Norādītie parametri – temperatūra, ruļļa garums, ātrums, vadības veids ir būtisks, jo iekārta tiek lietota gan praktiskajā, gan mācību procesā, tāpēc nevar tikt mainīts. Iekārtas izmēri ir norādīti, un ir norādīta izmēru pielaide</w:t>
            </w:r>
            <w:smartTag w:uri="urn:schemas-microsoft-com:office:smarttags" w:element="PersonName">
              <w:r w:rsidRPr="00335A90">
                <w:t>:</w:t>
              </w:r>
            </w:smartTag>
            <w:r w:rsidRPr="00335A90">
              <w:t xml:space="preserve"> 2000x700x1150mm +/-30mm. (</w:t>
            </w:r>
            <w:proofErr w:type="spellStart"/>
            <w:r w:rsidRPr="00335A90">
              <w:t>PxDxA</w:t>
            </w:r>
            <w:proofErr w:type="spellEnd"/>
            <w:r w:rsidRPr="00335A90">
              <w:t>). Iekārtai ir norādīts maksimālais svars</w:t>
            </w:r>
            <w:smartTag w:uri="urn:schemas-microsoft-com:office:smarttags" w:element="PersonName">
              <w:r w:rsidRPr="00335A90">
                <w:t>:</w:t>
              </w:r>
            </w:smartTag>
            <w:r w:rsidRPr="00335A90">
              <w:t xml:space="preserve"> līdz 200kg.</w:t>
            </w:r>
          </w:p>
          <w:p w:rsidR="00995D2D" w:rsidRPr="00335A90" w:rsidRDefault="00995D2D" w:rsidP="00995D2D">
            <w:pPr>
              <w:pStyle w:val="Default"/>
              <w:spacing w:beforeLines="60" w:afterLines="60"/>
              <w:jc w:val="both"/>
              <w:rPr>
                <w:rFonts w:ascii="Times New Roman" w:hAnsi="Times New Roman" w:cs="Times New Roman"/>
                <w:lang w:val="lv-LV"/>
              </w:rPr>
            </w:pPr>
            <w:r w:rsidRPr="00335A90">
              <w:rPr>
                <w:rFonts w:ascii="Times New Roman" w:hAnsi="Times New Roman" w:cs="Times New Roman"/>
                <w:lang w:val="lv-LV"/>
              </w:rPr>
              <w:t xml:space="preserve">Informējam, ka tā ir pasūtītāja prerogatīva izvirzīt iepirkuma procedūras dokumentos savām vajadzībām un iespējām atbilstošas, objektīvi pamatotas prasības. </w:t>
            </w:r>
          </w:p>
          <w:p w:rsidR="00995D2D" w:rsidRPr="00335A90" w:rsidRDefault="00995D2D" w:rsidP="00995D2D">
            <w:pPr>
              <w:pStyle w:val="Default"/>
              <w:spacing w:beforeLines="60" w:afterLines="60"/>
              <w:jc w:val="both"/>
              <w:rPr>
                <w:rFonts w:ascii="Times New Roman" w:hAnsi="Times New Roman" w:cs="Times New Roman"/>
                <w:lang w:val="lv-LV"/>
              </w:rPr>
            </w:pPr>
            <w:r w:rsidRPr="00335A90">
              <w:rPr>
                <w:rFonts w:ascii="Times New Roman" w:hAnsi="Times New Roman" w:cs="Times New Roman"/>
                <w:lang w:val="lv-LV"/>
              </w:rPr>
              <w:t>Publisko iepirkumu likuma 8</w:t>
            </w:r>
            <w:r w:rsidRPr="00335A90">
              <w:rPr>
                <w:rFonts w:ascii="Times New Roman" w:hAnsi="Times New Roman" w:cs="Times New Roman"/>
                <w:vertAlign w:val="superscript"/>
                <w:lang w:val="lv-LV"/>
              </w:rPr>
              <w:t>2</w:t>
            </w:r>
            <w:r w:rsidRPr="00335A90">
              <w:rPr>
                <w:rFonts w:ascii="Times New Roman" w:hAnsi="Times New Roman" w:cs="Times New Roman"/>
                <w:lang w:val="lv-LV"/>
              </w:rPr>
              <w:t>.panta trešās daļas piemērošanā ir jāņem vērā, ka likums izslēdz tikai nepamatotus, nevis jebkurus ierobežojumus konkurencei. Līdz ar to fakts, ka prasība ierobežo kāda noteikta piegādātāja iespējas piedāvāt iepirkumā noteiktas iekārtas, automātiski neliecina, ka prasība nepamatoti ierobežo konkurenci.</w:t>
            </w:r>
          </w:p>
          <w:p w:rsidR="00995D2D" w:rsidRPr="00335A90" w:rsidRDefault="00995D2D" w:rsidP="00995D2D">
            <w:pPr>
              <w:pStyle w:val="Default"/>
              <w:spacing w:beforeLines="60" w:afterLines="60"/>
              <w:jc w:val="both"/>
              <w:rPr>
                <w:rFonts w:ascii="Times New Roman" w:hAnsi="Times New Roman" w:cs="Times New Roman"/>
                <w:lang w:val="lv-LV"/>
              </w:rPr>
            </w:pPr>
            <w:r w:rsidRPr="00335A90">
              <w:rPr>
                <w:rFonts w:ascii="Times New Roman" w:hAnsi="Times New Roman" w:cs="Times New Roman"/>
                <w:lang w:val="lv-LV"/>
              </w:rPr>
              <w:lastRenderedPageBreak/>
              <w:t>Tehn</w:t>
            </w:r>
            <w:r>
              <w:rPr>
                <w:rFonts w:ascii="Times New Roman" w:hAnsi="Times New Roman" w:cs="Times New Roman"/>
                <w:lang w:val="lv-LV"/>
              </w:rPr>
              <w:t>isko specifikāciju 5., 6. un 9.</w:t>
            </w:r>
            <w:r w:rsidRPr="00335A90">
              <w:rPr>
                <w:rFonts w:ascii="Times New Roman" w:hAnsi="Times New Roman" w:cs="Times New Roman"/>
                <w:lang w:val="lv-LV"/>
              </w:rPr>
              <w:t xml:space="preserve">pozīcijā iekļautajām prasībām ir leģitīms mērķis un tās ir vērstas uz to, lai pēc iespējas nodrošinātu Publisko iepirkumu likuma 2.panta 3.punktā noteiktā mērķa ievērošanu, </w:t>
            </w:r>
            <w:r w:rsidRPr="00335A90">
              <w:rPr>
                <w:rFonts w:ascii="Times New Roman" w:hAnsi="Times New Roman" w:cs="Times New Roman"/>
                <w:color w:val="auto"/>
                <w:lang w:val="lv-LV"/>
              </w:rPr>
              <w:t xml:space="preserve">proti, </w:t>
            </w:r>
            <w:r w:rsidRPr="00335A90">
              <w:rPr>
                <w:rFonts w:ascii="Times New Roman" w:hAnsi="Times New Roman" w:cs="Times New Roman"/>
                <w:color w:val="auto"/>
                <w:shd w:val="clear" w:color="auto" w:fill="FFFFFF"/>
                <w:lang w:val="lv-LV"/>
              </w:rPr>
              <w:t>valsts un pašvaldību līdzekļu efektīvu izmantošanu, maksimāli samazinot pasūtītāja risku</w:t>
            </w:r>
            <w:r w:rsidRPr="00335A90">
              <w:rPr>
                <w:rFonts w:ascii="Times New Roman" w:hAnsi="Times New Roman" w:cs="Times New Roman"/>
                <w:color w:val="auto"/>
                <w:lang w:val="lv-LV"/>
              </w:rPr>
              <w:t>. V</w:t>
            </w:r>
            <w:r w:rsidRPr="00335A90">
              <w:rPr>
                <w:rFonts w:ascii="Times New Roman" w:hAnsi="Times New Roman" w:cs="Times New Roman"/>
                <w:lang w:val="lv-LV"/>
              </w:rPr>
              <w:t xml:space="preserve">ienlaikus norādām, ka pasūtītājam ir būtiski ne tikai iegādāties preci par izdevīgāko cenu, bet ir arī būtiski, lai iegādātā prece ilgtermiņā būtu ekonomiski izdevīga, ko šajā gadījumā sniedz iekārtas lielāka drošība, skatoties no iekārtas </w:t>
            </w:r>
            <w:proofErr w:type="spellStart"/>
            <w:r w:rsidRPr="00335A90">
              <w:rPr>
                <w:rFonts w:ascii="Times New Roman" w:hAnsi="Times New Roman" w:cs="Times New Roman"/>
                <w:lang w:val="lv-LV"/>
              </w:rPr>
              <w:t>bezatteikuma</w:t>
            </w:r>
            <w:proofErr w:type="spellEnd"/>
            <w:r w:rsidRPr="00335A90">
              <w:rPr>
                <w:rFonts w:ascii="Times New Roman" w:hAnsi="Times New Roman" w:cs="Times New Roman"/>
                <w:lang w:val="lv-LV"/>
              </w:rPr>
              <w:t xml:space="preserve"> darbības viedokļa, kā arī iekārtas iespējami plašāks pielietojums un noturība, jo iekārtas tiek paredzēts izmantot gan mācību procesa, gan darba procesa nodrošināšanai. </w:t>
            </w:r>
          </w:p>
          <w:p w:rsidR="00995D2D" w:rsidRPr="00335A90" w:rsidRDefault="00995D2D" w:rsidP="00995D2D">
            <w:pPr>
              <w:pStyle w:val="Default"/>
              <w:spacing w:beforeLines="60" w:afterLines="60"/>
              <w:jc w:val="both"/>
              <w:rPr>
                <w:rFonts w:ascii="Times New Roman" w:hAnsi="Times New Roman" w:cs="Times New Roman"/>
                <w:color w:val="auto"/>
                <w:lang w:val="lv-LV"/>
              </w:rPr>
            </w:pPr>
            <w:r w:rsidRPr="00335A90">
              <w:rPr>
                <w:rFonts w:ascii="Times New Roman" w:hAnsi="Times New Roman" w:cs="Times New Roman"/>
                <w:lang w:val="lv-LV"/>
              </w:rPr>
              <w:t>Turklāt tehn</w:t>
            </w:r>
            <w:r>
              <w:rPr>
                <w:rFonts w:ascii="Times New Roman" w:hAnsi="Times New Roman" w:cs="Times New Roman"/>
                <w:lang w:val="lv-LV"/>
              </w:rPr>
              <w:t>isko specifikāciju 5., 6. un 9.</w:t>
            </w:r>
            <w:r w:rsidRPr="00335A90">
              <w:rPr>
                <w:rFonts w:ascii="Times New Roman" w:hAnsi="Times New Roman" w:cs="Times New Roman"/>
                <w:lang w:val="lv-LV"/>
              </w:rPr>
              <w:t xml:space="preserve">pozīcijā iekļautās prasības nav vērstas uz kādu konkrētu ražotāju, tāpēc pilnībā atbilst Publisko iepirkumu likuma 2.panta 2.punktā noteiktajam mērķim nodrošināt </w:t>
            </w:r>
            <w:r w:rsidRPr="00335A90">
              <w:rPr>
                <w:rFonts w:ascii="Times New Roman" w:hAnsi="Times New Roman" w:cs="Times New Roman"/>
                <w:color w:val="auto"/>
                <w:lang w:val="lv-LV"/>
              </w:rPr>
              <w:t xml:space="preserve">piegādātāju brīvu </w:t>
            </w:r>
            <w:r w:rsidRPr="00335A90">
              <w:rPr>
                <w:rFonts w:ascii="Times New Roman" w:hAnsi="Times New Roman" w:cs="Times New Roman"/>
                <w:color w:val="auto"/>
                <w:shd w:val="clear" w:color="auto" w:fill="FFFFFF"/>
                <w:lang w:val="lv-LV"/>
              </w:rPr>
              <w:t>konkurenci, kā arī vienlīdzīgu un taisnīgu attieksmi pret tiem</w:t>
            </w:r>
            <w:r w:rsidRPr="00335A90">
              <w:rPr>
                <w:rFonts w:ascii="Times New Roman" w:hAnsi="Times New Roman" w:cs="Times New Roman"/>
                <w:color w:val="auto"/>
                <w:lang w:val="lv-LV"/>
              </w:rPr>
              <w:t>.</w:t>
            </w:r>
          </w:p>
          <w:p w:rsidR="00995D2D" w:rsidRPr="00335A90" w:rsidRDefault="00995D2D" w:rsidP="00995D2D">
            <w:pPr>
              <w:pStyle w:val="Default"/>
              <w:spacing w:beforeLines="60" w:afterLines="60"/>
              <w:jc w:val="both"/>
              <w:rPr>
                <w:rFonts w:ascii="Times New Roman" w:hAnsi="Times New Roman" w:cs="Times New Roman"/>
                <w:lang w:val="lv-LV"/>
              </w:rPr>
            </w:pPr>
            <w:r w:rsidRPr="00335A90">
              <w:rPr>
                <w:rFonts w:ascii="Times New Roman" w:hAnsi="Times New Roman" w:cs="Times New Roman"/>
                <w:lang w:val="lv-LV"/>
              </w:rPr>
              <w:t>Papildus minētajam vēršam uzmanību uz to, ka ieinteresētajiem piegādātājiem ir jāņem vērā, ka tā ir pasūtītāja ekskluzīva kompetence, izvērtējot konkrētus apsvērumus, noteikt tādas prasības, kas tā ieskatā ir atbilstošas konkrētā iepirkuma priekšmeta specifikai un spēj nodrošināt efektīvu iepirkuma līguma izpildi, tai skaitā noteikt tādas prasības piegādājamajām precēm, kādas ir nepieciešamas, lai nodrošinātu šo preču piemērotību konkrētiem darba apstākļiem. Līdz ar to apstāklis, ka piegādātāja ieskatā kāda no iepirkuma procedūras dokumentā iekļautajām prasībām nav būtiska un nepieciešama, lai pasūtītājs iegādātos atbilstošo preci, vēl neliecina par to, ka šāda prasība nav atbilstoša Publisko iepirkumu likuma regulējumam.</w:t>
            </w:r>
          </w:p>
          <w:p w:rsidR="00995D2D" w:rsidRPr="00335A90" w:rsidRDefault="00995D2D" w:rsidP="00995D2D">
            <w:pPr>
              <w:pStyle w:val="Default"/>
              <w:spacing w:beforeLines="60" w:afterLines="60"/>
              <w:jc w:val="both"/>
              <w:rPr>
                <w:rFonts w:ascii="Times New Roman" w:hAnsi="Times New Roman" w:cs="Times New Roman"/>
                <w:lang w:val="lv-LV"/>
              </w:rPr>
            </w:pPr>
            <w:r w:rsidRPr="00335A90">
              <w:rPr>
                <w:rFonts w:ascii="Times New Roman" w:hAnsi="Times New Roman" w:cs="Times New Roman"/>
                <w:lang w:val="lv-LV"/>
              </w:rPr>
              <w:t>Ievērojot minēto, tehn</w:t>
            </w:r>
            <w:r>
              <w:rPr>
                <w:rFonts w:ascii="Times New Roman" w:hAnsi="Times New Roman" w:cs="Times New Roman"/>
                <w:lang w:val="lv-LV"/>
              </w:rPr>
              <w:t>isko specifikāciju 5., 6. un 9.</w:t>
            </w:r>
            <w:r w:rsidRPr="00335A90">
              <w:rPr>
                <w:rFonts w:ascii="Times New Roman" w:hAnsi="Times New Roman" w:cs="Times New Roman"/>
                <w:lang w:val="lv-LV"/>
              </w:rPr>
              <w:t>pozīcijā iekļautās prasības pilnībā atbilst Publisko iepirkumu likuma regulējumam, tāpēc izmaiņu veikšana tajās nebūtu pamatota un lietderīga.</w:t>
            </w:r>
          </w:p>
          <w:p w:rsidR="00DC3EC3" w:rsidRPr="00995D2D" w:rsidRDefault="00995D2D" w:rsidP="00995D2D">
            <w:pPr>
              <w:pStyle w:val="Default"/>
              <w:spacing w:beforeLines="60" w:afterLines="60"/>
              <w:jc w:val="both"/>
              <w:rPr>
                <w:rStyle w:val="c9"/>
                <w:rFonts w:ascii="Times New Roman" w:hAnsi="Times New Roman" w:cs="Times New Roman"/>
                <w:color w:val="auto"/>
                <w:shd w:val="clear" w:color="auto" w:fill="FFFFFF"/>
                <w:lang w:val="lv-LV"/>
              </w:rPr>
            </w:pPr>
            <w:r w:rsidRPr="00335A90">
              <w:rPr>
                <w:rFonts w:ascii="Times New Roman" w:hAnsi="Times New Roman" w:cs="Times New Roman"/>
                <w:color w:val="auto"/>
                <w:shd w:val="clear" w:color="auto" w:fill="FFFFFF"/>
                <w:lang w:val="lv-LV"/>
              </w:rPr>
              <w:t xml:space="preserve">Tāpat atgādinām, ka iepirkumos, kas tiek </w:t>
            </w:r>
            <w:r w:rsidRPr="00335A90">
              <w:rPr>
                <w:rFonts w:ascii="Times New Roman" w:hAnsi="Times New Roman" w:cs="Times New Roman"/>
                <w:color w:val="auto"/>
                <w:shd w:val="clear" w:color="auto" w:fill="FFFFFF"/>
                <w:lang w:val="lv-LV"/>
              </w:rPr>
              <w:lastRenderedPageBreak/>
              <w:t xml:space="preserve">veikti </w:t>
            </w:r>
            <w:r w:rsidRPr="00335A90">
              <w:rPr>
                <w:rFonts w:ascii="Times New Roman" w:hAnsi="Times New Roman" w:cs="Times New Roman"/>
                <w:lang w:val="lv-LV"/>
              </w:rPr>
              <w:t>Publisko iepirkumu likuma 8</w:t>
            </w:r>
            <w:r w:rsidRPr="00335A90">
              <w:rPr>
                <w:rFonts w:ascii="Times New Roman" w:hAnsi="Times New Roman" w:cs="Times New Roman"/>
                <w:vertAlign w:val="superscript"/>
                <w:lang w:val="lv-LV"/>
              </w:rPr>
              <w:t>2</w:t>
            </w:r>
            <w:r w:rsidRPr="00335A90">
              <w:rPr>
                <w:rFonts w:ascii="Times New Roman" w:hAnsi="Times New Roman" w:cs="Times New Roman"/>
                <w:lang w:val="lv-LV"/>
              </w:rPr>
              <w:t>.panta kārtībā, nav iespējams veikt grozījumus iepirkuma dokumentācijā (t.sk. iepirkuma līguma projektā), nepārtraucot pašu iepirkuma procedūru.</w:t>
            </w:r>
          </w:p>
        </w:tc>
      </w:tr>
    </w:tbl>
    <w:p w:rsidR="00105B38" w:rsidRDefault="00105B38" w:rsidP="005669AA">
      <w:pPr>
        <w:pStyle w:val="c10"/>
        <w:rPr>
          <w:rStyle w:val="c9"/>
          <w:b/>
          <w:color w:val="000000"/>
        </w:rPr>
      </w:pPr>
    </w:p>
    <w:p w:rsidR="005669AA" w:rsidRDefault="005669AA"/>
    <w:p w:rsidR="005669AA" w:rsidRPr="005669AA" w:rsidRDefault="005669AA"/>
    <w:p w:rsidR="005669AA" w:rsidRPr="005669AA" w:rsidRDefault="00995D2D">
      <w:r>
        <w:t>12</w:t>
      </w:r>
      <w:r w:rsidR="008D3A1E">
        <w:t>.06</w:t>
      </w:r>
      <w:r w:rsidR="00AE27D6">
        <w:t>.2015</w:t>
      </w:r>
      <w:r w:rsidR="005669AA" w:rsidRPr="005669AA">
        <w:t>.</w:t>
      </w:r>
      <w:bookmarkStart w:id="0" w:name="_GoBack"/>
      <w:bookmarkEnd w:id="0"/>
    </w:p>
    <w:sectPr w:rsidR="005669AA" w:rsidRPr="005669AA" w:rsidSect="005669AA">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characterSpacingControl w:val="doNotCompress"/>
  <w:compat/>
  <w:rsids>
    <w:rsidRoot w:val="005669AA"/>
    <w:rsid w:val="0001297B"/>
    <w:rsid w:val="000B755C"/>
    <w:rsid w:val="000D7039"/>
    <w:rsid w:val="00105B38"/>
    <w:rsid w:val="00135C05"/>
    <w:rsid w:val="00146A74"/>
    <w:rsid w:val="001523B1"/>
    <w:rsid w:val="001F3FD8"/>
    <w:rsid w:val="00312FAF"/>
    <w:rsid w:val="00371D51"/>
    <w:rsid w:val="00425F7F"/>
    <w:rsid w:val="00565DA6"/>
    <w:rsid w:val="005669AA"/>
    <w:rsid w:val="00775D28"/>
    <w:rsid w:val="008D3A1E"/>
    <w:rsid w:val="00935D16"/>
    <w:rsid w:val="00957C44"/>
    <w:rsid w:val="00995D2D"/>
    <w:rsid w:val="00A872A7"/>
    <w:rsid w:val="00AA3260"/>
    <w:rsid w:val="00AC1937"/>
    <w:rsid w:val="00AE27D6"/>
    <w:rsid w:val="00AF2287"/>
    <w:rsid w:val="00BE04C2"/>
    <w:rsid w:val="00C43531"/>
    <w:rsid w:val="00C5296B"/>
    <w:rsid w:val="00C628DD"/>
    <w:rsid w:val="00C83C75"/>
    <w:rsid w:val="00C869B8"/>
    <w:rsid w:val="00D01A3E"/>
    <w:rsid w:val="00DC3EC3"/>
    <w:rsid w:val="00E059C8"/>
    <w:rsid w:val="00E63E83"/>
    <w:rsid w:val="00E70D38"/>
    <w:rsid w:val="00ED6A0C"/>
    <w:rsid w:val="00F82385"/>
    <w:rsid w:val="00FD0CF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C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0">
    <w:name w:val="c10"/>
    <w:basedOn w:val="Normal"/>
    <w:rsid w:val="005669AA"/>
    <w:pPr>
      <w:spacing w:before="138" w:after="138"/>
    </w:pPr>
  </w:style>
  <w:style w:type="character" w:customStyle="1" w:styleId="c9">
    <w:name w:val="c9"/>
    <w:basedOn w:val="DefaultParagraphFont"/>
    <w:rsid w:val="005669AA"/>
  </w:style>
  <w:style w:type="character" w:customStyle="1" w:styleId="c11">
    <w:name w:val="c11"/>
    <w:basedOn w:val="DefaultParagraphFont"/>
    <w:rsid w:val="005669AA"/>
  </w:style>
  <w:style w:type="paragraph" w:styleId="BodyText">
    <w:name w:val="Body Text"/>
    <w:basedOn w:val="Normal"/>
    <w:link w:val="BodyTextChar"/>
    <w:unhideWhenUsed/>
    <w:rsid w:val="005669AA"/>
    <w:rPr>
      <w:b/>
      <w:bCs/>
      <w:i/>
      <w:iCs/>
      <w:lang w:eastAsia="en-US"/>
    </w:rPr>
  </w:style>
  <w:style w:type="character" w:customStyle="1" w:styleId="BodyTextChar">
    <w:name w:val="Body Text Char"/>
    <w:basedOn w:val="DefaultParagraphFont"/>
    <w:link w:val="BodyText"/>
    <w:rsid w:val="005669AA"/>
    <w:rPr>
      <w:b/>
      <w:bCs/>
      <w:i/>
      <w:iCs/>
      <w:sz w:val="24"/>
      <w:szCs w:val="24"/>
      <w:lang w:eastAsia="en-US"/>
    </w:rPr>
  </w:style>
  <w:style w:type="paragraph" w:styleId="BalloonText">
    <w:name w:val="Balloon Text"/>
    <w:basedOn w:val="Normal"/>
    <w:link w:val="BalloonTextChar"/>
    <w:rsid w:val="005669AA"/>
    <w:rPr>
      <w:rFonts w:ascii="Tahoma" w:hAnsi="Tahoma" w:cs="Tahoma"/>
      <w:sz w:val="16"/>
      <w:szCs w:val="16"/>
    </w:rPr>
  </w:style>
  <w:style w:type="character" w:customStyle="1" w:styleId="BalloonTextChar">
    <w:name w:val="Balloon Text Char"/>
    <w:basedOn w:val="DefaultParagraphFont"/>
    <w:link w:val="BalloonText"/>
    <w:rsid w:val="005669AA"/>
    <w:rPr>
      <w:rFonts w:ascii="Tahoma" w:hAnsi="Tahoma" w:cs="Tahoma"/>
      <w:sz w:val="16"/>
      <w:szCs w:val="16"/>
    </w:rPr>
  </w:style>
  <w:style w:type="table" w:styleId="TableGrid">
    <w:name w:val="Table Grid"/>
    <w:basedOn w:val="TableNormal"/>
    <w:rsid w:val="00105B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8D3A1E"/>
    <w:rPr>
      <w:color w:val="0000FF"/>
      <w:u w:val="single"/>
    </w:rPr>
  </w:style>
  <w:style w:type="paragraph" w:customStyle="1" w:styleId="Default">
    <w:name w:val="Default"/>
    <w:rsid w:val="00995D2D"/>
    <w:pPr>
      <w:autoSpaceDE w:val="0"/>
      <w:autoSpaceDN w:val="0"/>
      <w:adjustRightInd w:val="0"/>
    </w:pPr>
    <w:rPr>
      <w:rFonts w:ascii="Lucida Sans Unicode" w:hAnsi="Lucida Sans Unicode" w:cs="Lucida Sans Unicode"/>
      <w:color w:val="000000"/>
      <w:sz w:val="24"/>
      <w:szCs w:val="24"/>
      <w:lang w:val="en-GB" w:eastAsia="en-GB"/>
    </w:rPr>
  </w:style>
  <w:style w:type="paragraph" w:styleId="NormalWeb">
    <w:name w:val="Normal (Web)"/>
    <w:basedOn w:val="Normal"/>
    <w:unhideWhenUsed/>
    <w:rsid w:val="00995D2D"/>
    <w:pPr>
      <w:spacing w:before="100" w:beforeAutospacing="1" w:after="100" w:afterAutospacing="1"/>
    </w:pPr>
  </w:style>
  <w:style w:type="character" w:customStyle="1" w:styleId="c3">
    <w:name w:val="c3"/>
    <w:basedOn w:val="DefaultParagraphFont"/>
    <w:rsid w:val="00995D2D"/>
    <w:rPr>
      <w:rFonts w:cs="Times New Roman"/>
    </w:rPr>
  </w:style>
  <w:style w:type="paragraph" w:styleId="Header">
    <w:name w:val="header"/>
    <w:basedOn w:val="Normal"/>
    <w:link w:val="HeaderChar"/>
    <w:rsid w:val="00995D2D"/>
    <w:pPr>
      <w:tabs>
        <w:tab w:val="center" w:pos="4153"/>
        <w:tab w:val="right" w:pos="8306"/>
      </w:tabs>
    </w:pPr>
    <w:rPr>
      <w:sz w:val="20"/>
      <w:szCs w:val="20"/>
    </w:rPr>
  </w:style>
  <w:style w:type="character" w:customStyle="1" w:styleId="HeaderChar">
    <w:name w:val="Header Char"/>
    <w:basedOn w:val="DefaultParagraphFont"/>
    <w:link w:val="Header"/>
    <w:rsid w:val="00995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C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0">
    <w:name w:val="c10"/>
    <w:basedOn w:val="Normal"/>
    <w:rsid w:val="005669AA"/>
    <w:pPr>
      <w:spacing w:before="138" w:after="138"/>
    </w:pPr>
  </w:style>
  <w:style w:type="character" w:customStyle="1" w:styleId="c9">
    <w:name w:val="c9"/>
    <w:basedOn w:val="DefaultParagraphFont"/>
    <w:rsid w:val="005669AA"/>
  </w:style>
  <w:style w:type="character" w:customStyle="1" w:styleId="c11">
    <w:name w:val="c11"/>
    <w:basedOn w:val="DefaultParagraphFont"/>
    <w:rsid w:val="005669AA"/>
  </w:style>
  <w:style w:type="paragraph" w:styleId="BodyText">
    <w:name w:val="Body Text"/>
    <w:basedOn w:val="Normal"/>
    <w:link w:val="BodyTextChar"/>
    <w:unhideWhenUsed/>
    <w:rsid w:val="005669AA"/>
    <w:rPr>
      <w:b/>
      <w:bCs/>
      <w:i/>
      <w:iCs/>
      <w:lang w:eastAsia="en-US"/>
    </w:rPr>
  </w:style>
  <w:style w:type="character" w:customStyle="1" w:styleId="BodyTextChar">
    <w:name w:val="Body Text Char"/>
    <w:basedOn w:val="DefaultParagraphFont"/>
    <w:link w:val="BodyText"/>
    <w:rsid w:val="005669AA"/>
    <w:rPr>
      <w:b/>
      <w:bCs/>
      <w:i/>
      <w:iCs/>
      <w:sz w:val="24"/>
      <w:szCs w:val="24"/>
      <w:lang w:eastAsia="en-US"/>
    </w:rPr>
  </w:style>
  <w:style w:type="paragraph" w:styleId="BalloonText">
    <w:name w:val="Balloon Text"/>
    <w:basedOn w:val="Normal"/>
    <w:link w:val="BalloonTextChar"/>
    <w:rsid w:val="005669AA"/>
    <w:rPr>
      <w:rFonts w:ascii="Tahoma" w:hAnsi="Tahoma" w:cs="Tahoma"/>
      <w:sz w:val="16"/>
      <w:szCs w:val="16"/>
    </w:rPr>
  </w:style>
  <w:style w:type="character" w:customStyle="1" w:styleId="BalloonTextChar">
    <w:name w:val="Balloon Text Char"/>
    <w:basedOn w:val="DefaultParagraphFont"/>
    <w:link w:val="BalloonText"/>
    <w:rsid w:val="005669AA"/>
    <w:rPr>
      <w:rFonts w:ascii="Tahoma" w:hAnsi="Tahoma" w:cs="Tahoma"/>
      <w:sz w:val="16"/>
      <w:szCs w:val="16"/>
    </w:rPr>
  </w:style>
  <w:style w:type="table" w:styleId="TableGrid">
    <w:name w:val="Table Grid"/>
    <w:basedOn w:val="TableNormal"/>
    <w:rsid w:val="00105B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527987375">
      <w:bodyDiv w:val="1"/>
      <w:marLeft w:val="138"/>
      <w:marRight w:val="138"/>
      <w:marTop w:val="0"/>
      <w:marBottom w:val="0"/>
      <w:divBdr>
        <w:top w:val="none" w:sz="0" w:space="0" w:color="auto"/>
        <w:left w:val="none" w:sz="0" w:space="0" w:color="auto"/>
        <w:bottom w:val="none" w:sz="0" w:space="0" w:color="auto"/>
        <w:right w:val="none" w:sz="0" w:space="0" w:color="auto"/>
      </w:divBdr>
      <w:divsChild>
        <w:div w:id="1236548094">
          <w:marLeft w:val="0"/>
          <w:marRight w:val="0"/>
          <w:marTop w:val="0"/>
          <w:marBottom w:val="0"/>
          <w:divBdr>
            <w:top w:val="single" w:sz="2" w:space="7" w:color="CCCCCC"/>
            <w:left w:val="single" w:sz="8" w:space="7" w:color="CCCCCC"/>
            <w:bottom w:val="single" w:sz="8" w:space="7" w:color="CCCCCC"/>
            <w:right w:val="single" w:sz="8" w:space="7" w:color="CCCCCC"/>
          </w:divBdr>
          <w:divsChild>
            <w:div w:id="1950891751">
              <w:marLeft w:val="0"/>
              <w:marRight w:val="0"/>
              <w:marTop w:val="0"/>
              <w:marBottom w:val="0"/>
              <w:divBdr>
                <w:top w:val="none" w:sz="0" w:space="0" w:color="auto"/>
                <w:left w:val="none" w:sz="0" w:space="0" w:color="auto"/>
                <w:bottom w:val="none" w:sz="0" w:space="0" w:color="auto"/>
                <w:right w:val="none" w:sz="0" w:space="0" w:color="auto"/>
              </w:divBdr>
              <w:divsChild>
                <w:div w:id="400449626">
                  <w:marLeft w:val="0"/>
                  <w:marRight w:val="0"/>
                  <w:marTop w:val="0"/>
                  <w:marBottom w:val="0"/>
                  <w:divBdr>
                    <w:top w:val="none" w:sz="0" w:space="0" w:color="auto"/>
                    <w:left w:val="none" w:sz="0" w:space="0" w:color="auto"/>
                    <w:bottom w:val="none" w:sz="0" w:space="0" w:color="auto"/>
                    <w:right w:val="none" w:sz="0" w:space="0" w:color="auto"/>
                  </w:divBdr>
                  <w:divsChild>
                    <w:div w:id="1458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50202">
      <w:bodyDiv w:val="1"/>
      <w:marLeft w:val="138"/>
      <w:marRight w:val="138"/>
      <w:marTop w:val="0"/>
      <w:marBottom w:val="0"/>
      <w:divBdr>
        <w:top w:val="none" w:sz="0" w:space="0" w:color="auto"/>
        <w:left w:val="none" w:sz="0" w:space="0" w:color="auto"/>
        <w:bottom w:val="none" w:sz="0" w:space="0" w:color="auto"/>
        <w:right w:val="none" w:sz="0" w:space="0" w:color="auto"/>
      </w:divBdr>
      <w:divsChild>
        <w:div w:id="193857813">
          <w:marLeft w:val="0"/>
          <w:marRight w:val="0"/>
          <w:marTop w:val="0"/>
          <w:marBottom w:val="0"/>
          <w:divBdr>
            <w:top w:val="single" w:sz="2" w:space="7" w:color="CCCCCC"/>
            <w:left w:val="single" w:sz="8" w:space="7" w:color="CCCCCC"/>
            <w:bottom w:val="single" w:sz="8" w:space="7" w:color="CCCCCC"/>
            <w:right w:val="single" w:sz="8" w:space="7" w:color="CCCCCC"/>
          </w:divBdr>
          <w:divsChild>
            <w:div w:id="1434327342">
              <w:marLeft w:val="0"/>
              <w:marRight w:val="0"/>
              <w:marTop w:val="0"/>
              <w:marBottom w:val="0"/>
              <w:divBdr>
                <w:top w:val="none" w:sz="0" w:space="0" w:color="auto"/>
                <w:left w:val="none" w:sz="0" w:space="0" w:color="auto"/>
                <w:bottom w:val="none" w:sz="0" w:space="0" w:color="auto"/>
                <w:right w:val="none" w:sz="0" w:space="0" w:color="auto"/>
              </w:divBdr>
              <w:divsChild>
                <w:div w:id="608203119">
                  <w:marLeft w:val="0"/>
                  <w:marRight w:val="0"/>
                  <w:marTop w:val="0"/>
                  <w:marBottom w:val="0"/>
                  <w:divBdr>
                    <w:top w:val="none" w:sz="0" w:space="0" w:color="auto"/>
                    <w:left w:val="none" w:sz="0" w:space="0" w:color="auto"/>
                    <w:bottom w:val="none" w:sz="0" w:space="0" w:color="auto"/>
                    <w:right w:val="none" w:sz="0" w:space="0" w:color="auto"/>
                  </w:divBdr>
                  <w:divsChild>
                    <w:div w:id="999115235">
                      <w:marLeft w:val="0"/>
                      <w:marRight w:val="0"/>
                      <w:marTop w:val="0"/>
                      <w:marBottom w:val="0"/>
                      <w:divBdr>
                        <w:top w:val="none" w:sz="0" w:space="0" w:color="auto"/>
                        <w:left w:val="none" w:sz="0" w:space="0" w:color="auto"/>
                        <w:bottom w:val="none" w:sz="0" w:space="0" w:color="auto"/>
                        <w:right w:val="none" w:sz="0" w:space="0" w:color="auto"/>
                      </w:divBdr>
                      <w:divsChild>
                        <w:div w:id="3188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C:\Documents%20and%20Settings\Ilga\My%20Documents\Local%20Settings\Temp\NaisView\I002756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1079</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apv</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kristine.pavelkovska</dc:creator>
  <cp:lastModifiedBy>kristine.pavelkovska</cp:lastModifiedBy>
  <cp:revision>8</cp:revision>
  <cp:lastPrinted>2015-06-08T11:26:00Z</cp:lastPrinted>
  <dcterms:created xsi:type="dcterms:W3CDTF">2015-06-05T13:34:00Z</dcterms:created>
  <dcterms:modified xsi:type="dcterms:W3CDTF">2015-06-12T10:24:00Z</dcterms:modified>
</cp:coreProperties>
</file>